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Alkaloidi i steroidi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E1BB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E1BB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 w:rsidRPr="00632D12">
              <w:rPr>
                <w:rFonts w:asciiTheme="majorHAnsi" w:hAnsiTheme="majorHAnsi"/>
                <w:b/>
                <w:sz w:val="18"/>
                <w:szCs w:val="18"/>
              </w:rPr>
              <w:t>Studenti I ciklusa Prirodno-matematičkog fakulteta-Odsjek Hemija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32D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F2D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8F2DDF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F2D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8F2DDF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,42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Hemija/Usmjerenje: Edukacija u hemiji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Melita Huremović, 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red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.prof.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Sticanje znanja o osnovnim svojstvima i strukturama alkaloida i steroida. Pri tome studenti trebaju da se upoznaju sa strukturnom raznolikošću, te osnovnim načinima sinteze ovih spojeva.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moći racionalizirati strukturnu kompleksnost ovih spojeva i prepoznati ponavljajuće elemente u gradji ovih molekula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Uvod u hemiju alkaloida- istorijat, rasprostranjenost, funkcija alkaloida, f-h svojstva,  klasifikacija alkaloida (pravi, pseudoalkaloidi, protoalkaloidi) Metode izolacije alkaloida, prečišćavanje i razdvajanje alkaloida, dokazivanje i određivanje alkaloida Alkaloidi sa piperidinskim i piridinskim prstenom (nikotin,  koniin, piperin, kavacin, lobelin, peletierini) Tropanski alkaloidi (atropin, kokain, skopolamin, hiosciamin) Alkaloidi sa hinolinskom i izohinolinskom jezgrom (derivati kininovca, berberin, emetin, grupa alkaloida opijuma- heroin, morfin, kodein) Alkaloidi derivati indola (brucin, strihnin,harmin, vinkristin, vinblastin, ergot-alkaloidi),  derivati imidazola, purina, terpenski alkaloidi (taksol) Steroidi-građa i nomenklatura Podjela steroida Steroli (zoosteroli, fitosteroli i mikosteroli) Holesterol, građa, funkcija u organizmu Žučne kiseline (holna, deoksiholna, litoholna) Steroidni hormoni-podjela i građa estrogenih androgenih i gestagenih hormona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Predavanja, individualni seminarski radovi i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32D12" w:rsidRDefault="00D05D23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Ispit je pismeni (Test) i završni ispit (usmeni/pismeni). Ocjena ispita se formira na osnovu kriterija predstavljenih u tabeli:  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 znanja - kriteriji                                                              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Maksimalan broj bodova                       Bodovi za prolaz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Urednost pohađanja nastave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5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3 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25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13 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(pismeni)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20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11 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(pismeni)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20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11</w:t>
            </w:r>
          </w:p>
          <w:p w:rsidR="00632D12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Završni ispit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30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17 </w:t>
            </w:r>
          </w:p>
          <w:p w:rsidR="00CB72ED" w:rsidRPr="00B96B4F" w:rsidRDefault="00632D12" w:rsidP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100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32D12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br. bodova             Ocjena                    </w:t>
            </w:r>
          </w:p>
          <w:p w:rsidR="00632D12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5                                 F </w:t>
            </w:r>
          </w:p>
          <w:p w:rsidR="00632D12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55 – 64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6                                 E</w:t>
            </w:r>
          </w:p>
          <w:p w:rsidR="00632D12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65 – 74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7                                 D </w:t>
            </w:r>
          </w:p>
          <w:p w:rsidR="00632D12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75 – 84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8                                 C </w:t>
            </w:r>
          </w:p>
          <w:p w:rsidR="00632D12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85– 94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9                                 B </w:t>
            </w:r>
          </w:p>
          <w:p w:rsidR="00CB72ED" w:rsidRPr="00B96B4F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95 - 100                    10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32D12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T.Aniszewski Alkaloids Secret of life alkaloid chemistry, biological significance, applications , 2007 (pdf) </w:t>
            </w:r>
          </w:p>
          <w:p w:rsidR="00632D12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S.Funayama, G.A. Cordell, Alkaloid, 2015. (pdf) </w:t>
            </w:r>
          </w:p>
          <w:p w:rsidR="00CB72ED" w:rsidRPr="00B96B4F" w:rsidRDefault="00632D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32D12">
              <w:rPr>
                <w:rFonts w:asciiTheme="majorHAnsi" w:hAnsiTheme="majorHAnsi" w:cs="Arial"/>
                <w:b/>
                <w:sz w:val="18"/>
                <w:szCs w:val="18"/>
              </w:rPr>
              <w:t xml:space="preserve">3. T.Aniszewski, Alkaloids Chemistry, Biology, Ecology, and App, 2015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D50E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D50E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D50E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DD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F2DD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F2DD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D50E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D50E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D50E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BBC" w:rsidRDefault="001E1BBC">
      <w:pPr>
        <w:spacing w:line="240" w:lineRule="auto"/>
      </w:pPr>
      <w:r>
        <w:separator/>
      </w:r>
    </w:p>
  </w:endnote>
  <w:endnote w:type="continuationSeparator" w:id="0">
    <w:p w:rsidR="001E1BBC" w:rsidRDefault="001E1B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D50E6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D50E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D50E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BBC" w:rsidRDefault="001E1BBC">
      <w:pPr>
        <w:spacing w:after="0"/>
      </w:pPr>
      <w:r>
        <w:separator/>
      </w:r>
    </w:p>
  </w:footnote>
  <w:footnote w:type="continuationSeparator" w:id="0">
    <w:p w:rsidR="001E1BBC" w:rsidRDefault="001E1B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1BBC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1EC1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31E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50E6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2D12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19B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DDF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3BDB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A895A-9240-43E7-8EFE-C17D3C02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E857A-F73C-4738-905F-4BD0E867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2026-03-06T07:54:00Z</dcterms:created>
  <dcterms:modified xsi:type="dcterms:W3CDTF">2026-03-11T11:48:00Z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